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C9" w:rsidRPr="00396FC9" w:rsidRDefault="00396FC9" w:rsidP="00396FC9">
      <w:pPr>
        <w:spacing w:before="240" w:after="240" w:line="360" w:lineRule="auto"/>
      </w:pPr>
      <w:r w:rsidRPr="00396FC9">
        <w:t xml:space="preserve">From mynursingkit.com, here are the chapter outlines, key concepts, key terms, etc. </w:t>
      </w:r>
    </w:p>
    <w:p w:rsidR="00396FC9" w:rsidRPr="00396FC9" w:rsidRDefault="00396FC9" w:rsidP="00396FC9">
      <w:pPr>
        <w:pStyle w:val="Heading1"/>
        <w:spacing w:before="240" w:after="240" w:line="360" w:lineRule="auto"/>
        <w:rPr>
          <w:sz w:val="28"/>
        </w:rPr>
      </w:pPr>
      <w:r w:rsidRPr="00396FC9">
        <w:rPr>
          <w:sz w:val="28"/>
        </w:rPr>
        <w:t>CHAPTER 7:  Drug Administration throughout the lifespan</w:t>
      </w:r>
    </w:p>
    <w:p w:rsidR="00396FC9" w:rsidRPr="00396FC9" w:rsidRDefault="00396FC9" w:rsidP="00396FC9">
      <w:pPr>
        <w:widowControl w:val="0"/>
        <w:autoSpaceDE w:val="0"/>
        <w:autoSpaceDN w:val="0"/>
        <w:adjustRightInd w:val="0"/>
        <w:spacing w:before="240" w:after="240" w:line="360" w:lineRule="auto"/>
        <w:rPr>
          <w:rFonts w:cs="Arial"/>
          <w:bCs/>
          <w:szCs w:val="26"/>
        </w:rPr>
      </w:pPr>
      <w:r w:rsidRPr="00396FC9">
        <w:rPr>
          <w:rFonts w:cs="Arial"/>
          <w:b/>
          <w:bCs/>
          <w:szCs w:val="26"/>
        </w:rPr>
        <w:t>7.1</w:t>
      </w:r>
      <w:r w:rsidRPr="00396FC9">
        <w:rPr>
          <w:rFonts w:cs="Arial"/>
          <w:szCs w:val="26"/>
        </w:rPr>
        <w:sym w:font="Wingdings" w:char="F0E0"/>
      </w:r>
      <w:r w:rsidRPr="00396FC9">
        <w:rPr>
          <w:rFonts w:cs="Arial"/>
          <w:szCs w:val="26"/>
        </w:rPr>
        <w:t>To contribute to safe and effective pharmacotherapy, it is essential for the nurse to understand and apply fundamental concepts of growth and development.</w:t>
      </w:r>
    </w:p>
    <w:p w:rsid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7.2</w:t>
      </w:r>
      <w:r w:rsidRPr="00396FC9">
        <w:rPr>
          <w:rFonts w:cs="Arial"/>
          <w:szCs w:val="26"/>
        </w:rPr>
        <w:sym w:font="Wingdings" w:char="F0E0"/>
      </w:r>
      <w:r w:rsidRPr="00396FC9">
        <w:rPr>
          <w:rFonts w:cs="Arial"/>
          <w:szCs w:val="26"/>
        </w:rPr>
        <w:t xml:space="preserve"> The effects of drugs on a growing embryo or fetus </w:t>
      </w:r>
      <w:proofErr w:type="gramStart"/>
      <w:r w:rsidRPr="00396FC9">
        <w:rPr>
          <w:rFonts w:cs="Arial"/>
          <w:szCs w:val="26"/>
        </w:rPr>
        <w:t>depends</w:t>
      </w:r>
      <w:proofErr w:type="gramEnd"/>
      <w:r w:rsidRPr="00396FC9">
        <w:rPr>
          <w:rFonts w:cs="Arial"/>
          <w:szCs w:val="26"/>
        </w:rPr>
        <w:t xml:space="preserve"> on gestational stage and the amount of drug received. Pharmacotherapy during pregnancy should be conducted only when the benefits to the mother outweigh the potential risks to the unborn child. Pregnancy categories guide the health care provider in prescribing drugs for these patients.</w:t>
      </w:r>
    </w:p>
    <w:p w:rsidR="00396FC9" w:rsidRDefault="002E4D11" w:rsidP="002E4D11">
      <w:pPr>
        <w:pStyle w:val="Heading3"/>
        <w:ind w:firstLine="720"/>
        <w:rPr>
          <w:color w:val="AC66BB" w:themeColor="accent2"/>
        </w:rPr>
      </w:pPr>
      <w:r>
        <w:t>-</w:t>
      </w:r>
      <w:r w:rsidR="00396FC9" w:rsidRPr="00396FC9">
        <w:rPr>
          <w:color w:val="AC66BB" w:themeColor="accent2"/>
        </w:rPr>
        <w:t xml:space="preserve">Pregnancy 5 Category System: </w:t>
      </w:r>
    </w:p>
    <w:p w:rsidR="008A5E55" w:rsidRPr="008A5E55" w:rsidRDefault="00396FC9"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t>*</w:t>
      </w:r>
      <w:r w:rsidRPr="008A5E55">
        <w:rPr>
          <w:rFonts w:asciiTheme="majorHAnsi" w:hAnsiTheme="majorHAnsi"/>
          <w:b/>
        </w:rPr>
        <w:t xml:space="preserve">Category </w:t>
      </w:r>
      <w:proofErr w:type="gramStart"/>
      <w:r w:rsidRPr="008A5E55">
        <w:rPr>
          <w:rFonts w:asciiTheme="majorHAnsi" w:hAnsiTheme="majorHAnsi"/>
          <w:b/>
        </w:rPr>
        <w:t>A</w:t>
      </w:r>
      <w:proofErr w:type="gramEnd"/>
      <w:r w:rsidRPr="008A5E55">
        <w:rPr>
          <w:rFonts w:asciiTheme="majorHAnsi" w:hAnsiTheme="majorHAnsi"/>
          <w:b/>
        </w:rPr>
        <w:sym w:font="Wingdings" w:char="F0E0"/>
      </w:r>
      <w:r w:rsidR="008A5E55" w:rsidRPr="008A5E55">
        <w:rPr>
          <w:rFonts w:asciiTheme="majorHAnsi" w:hAnsiTheme="majorHAnsi" w:cs="Helvetica"/>
          <w:szCs w:val="16"/>
        </w:rPr>
        <w:t>Adequate and well-controlled studies have failed to demonstrate a risk</w:t>
      </w:r>
      <w:r w:rsidR="008A5E55" w:rsidRPr="008A5E55">
        <w:rPr>
          <w:rFonts w:asciiTheme="majorHAnsi" w:hAnsiTheme="majorHAnsi" w:cs="Helvetica"/>
        </w:rPr>
        <w:t xml:space="preserve"> </w:t>
      </w:r>
      <w:r w:rsidR="008A5E55" w:rsidRPr="008A5E55">
        <w:rPr>
          <w:rFonts w:asciiTheme="majorHAnsi" w:hAnsiTheme="majorHAnsi" w:cs="Helvetica"/>
          <w:szCs w:val="16"/>
        </w:rPr>
        <w:t>to the fetus in the first trimester of pregnancy (and there is no evidence</w:t>
      </w:r>
      <w:r w:rsidR="008A5E55" w:rsidRPr="008A5E55">
        <w:rPr>
          <w:rFonts w:asciiTheme="majorHAnsi" w:hAnsiTheme="majorHAnsi" w:cs="Helvetica"/>
        </w:rPr>
        <w:t xml:space="preserve"> </w:t>
      </w:r>
      <w:r w:rsidR="008A5E55" w:rsidRPr="008A5E55">
        <w:rPr>
          <w:rFonts w:asciiTheme="majorHAnsi" w:hAnsiTheme="majorHAnsi" w:cs="Helvetica"/>
          <w:szCs w:val="16"/>
        </w:rPr>
        <w:t>of risk in later trimesters).</w:t>
      </w:r>
      <w:r w:rsidR="008A5E55" w:rsidRPr="008A5E55">
        <w:rPr>
          <w:rFonts w:asciiTheme="majorHAnsi" w:hAnsiTheme="majorHAnsi" w:cs="Helvetica"/>
        </w:rPr>
        <w:t xml:space="preserve">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rPr>
      </w:pP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rsidRPr="008A5E55">
        <w:rPr>
          <w:rFonts w:asciiTheme="majorHAnsi" w:hAnsiTheme="majorHAnsi"/>
        </w:rPr>
        <w:t>*</w:t>
      </w:r>
      <w:r w:rsidRPr="008A5E55">
        <w:rPr>
          <w:rFonts w:asciiTheme="majorHAnsi" w:hAnsiTheme="majorHAnsi"/>
          <w:b/>
        </w:rPr>
        <w:t>Category B</w:t>
      </w:r>
      <w:r w:rsidRPr="008A5E55">
        <w:rPr>
          <w:rFonts w:asciiTheme="majorHAnsi" w:hAnsiTheme="majorHAnsi"/>
          <w:b/>
        </w:rPr>
        <w:sym w:font="Wingdings" w:char="F0E0"/>
      </w:r>
      <w:r w:rsidRPr="008A5E55">
        <w:rPr>
          <w:rFonts w:asciiTheme="majorHAnsi" w:hAnsiTheme="majorHAnsi"/>
        </w:rPr>
        <w:t xml:space="preserve"> A</w:t>
      </w:r>
      <w:r w:rsidRPr="008A5E55">
        <w:rPr>
          <w:rFonts w:asciiTheme="majorHAnsi" w:hAnsiTheme="majorHAnsi" w:cs="Helvetica"/>
          <w:szCs w:val="16"/>
        </w:rPr>
        <w:t>nimal reproduction studies have failed to demonstrate a risk to the</w:t>
      </w:r>
      <w:r>
        <w:rPr>
          <w:rFonts w:asciiTheme="majorHAnsi" w:hAnsiTheme="majorHAnsi" w:cs="Helvetica"/>
        </w:rPr>
        <w:t xml:space="preserve"> </w:t>
      </w:r>
      <w:r w:rsidRPr="008A5E55">
        <w:rPr>
          <w:rFonts w:asciiTheme="majorHAnsi" w:hAnsiTheme="majorHAnsi" w:cs="Helvetica"/>
          <w:szCs w:val="16"/>
        </w:rPr>
        <w:t>fetus and there are no adequate and well-controlled studies in pregnant</w:t>
      </w:r>
      <w:r>
        <w:rPr>
          <w:rFonts w:asciiTheme="majorHAnsi" w:hAnsiTheme="majorHAnsi" w:cs="Helvetica"/>
        </w:rPr>
        <w:t xml:space="preserve"> </w:t>
      </w:r>
      <w:r w:rsidRPr="008A5E55">
        <w:rPr>
          <w:rFonts w:asciiTheme="majorHAnsi" w:hAnsiTheme="majorHAnsi" w:cs="Helvetica"/>
          <w:szCs w:val="16"/>
        </w:rPr>
        <w:t>women.</w:t>
      </w:r>
      <w:r w:rsidRPr="008A5E55">
        <w:rPr>
          <w:rFonts w:asciiTheme="majorHAnsi" w:hAnsiTheme="majorHAnsi" w:cs="Helvetica"/>
        </w:rPr>
        <w:t xml:space="preserve">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rPr>
          <w:rFonts w:asciiTheme="majorHAnsi" w:hAnsiTheme="majorHAnsi" w:cs="Helvetica"/>
        </w:rPr>
        <w:tab/>
      </w:r>
      <w:r>
        <w:rPr>
          <w:rFonts w:asciiTheme="majorHAnsi" w:hAnsiTheme="majorHAnsi" w:cs="Helvetica"/>
          <w:b/>
        </w:rPr>
        <w:t>OR</w:t>
      </w:r>
    </w:p>
    <w:p w:rsidR="008A5E55" w:rsidRP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rPr>
          <w:rFonts w:asciiTheme="majorHAnsi" w:hAnsiTheme="majorHAnsi" w:cs="Helvetica"/>
        </w:rPr>
        <w:t xml:space="preserve">Animal studies have shown an adverse affect, but adequate and well-controlled studies in pregnant women have failed to demonstrate risk to the fetus in any trimester.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r w:rsidRPr="008A5E55">
        <w:rPr>
          <w:rFonts w:asciiTheme="majorHAnsi" w:hAnsiTheme="majorHAnsi" w:cs="Helvetica"/>
        </w:rPr>
        <w:t>*</w:t>
      </w:r>
      <w:r w:rsidRPr="008A5E55">
        <w:rPr>
          <w:rFonts w:asciiTheme="majorHAnsi" w:hAnsiTheme="majorHAnsi" w:cs="Helvetica"/>
          <w:b/>
        </w:rPr>
        <w:t>Category C</w:t>
      </w:r>
      <w:r w:rsidRPr="008A5E55">
        <w:rPr>
          <w:rFonts w:asciiTheme="majorHAnsi" w:hAnsiTheme="majorHAnsi" w:cs="Helvetica"/>
          <w:b/>
        </w:rPr>
        <w:sym w:font="Wingdings" w:char="F0E0"/>
      </w:r>
      <w:r w:rsidRPr="008A5E55">
        <w:rPr>
          <w:rFonts w:asciiTheme="majorHAnsi" w:hAnsiTheme="majorHAnsi" w:cs="Helvetica"/>
          <w:b/>
        </w:rPr>
        <w:t xml:space="preserve"> </w:t>
      </w:r>
      <w:r w:rsidRPr="008A5E55">
        <w:rPr>
          <w:rFonts w:asciiTheme="majorHAnsi" w:hAnsiTheme="majorHAnsi" w:cs="Helvetica"/>
          <w:szCs w:val="16"/>
        </w:rPr>
        <w:t>Animal reproduction studies have shown an adverse effect on the fetus</w:t>
      </w:r>
      <w:r w:rsidRPr="008A5E55">
        <w:rPr>
          <w:rFonts w:asciiTheme="majorHAnsi" w:hAnsiTheme="majorHAnsi" w:cs="Helvetica"/>
        </w:rPr>
        <w:t xml:space="preserve"> </w:t>
      </w:r>
      <w:r w:rsidRPr="008A5E55">
        <w:rPr>
          <w:rFonts w:asciiTheme="majorHAnsi" w:hAnsiTheme="majorHAnsi" w:cs="Helvetica"/>
          <w:szCs w:val="16"/>
        </w:rPr>
        <w:t xml:space="preserve">and there are no adequate and well-controlled studies in </w:t>
      </w:r>
      <w:r>
        <w:rPr>
          <w:rFonts w:asciiTheme="majorHAnsi" w:hAnsiTheme="majorHAnsi" w:cs="Helvetica"/>
          <w:szCs w:val="16"/>
        </w:rPr>
        <w:t>pregnant women.</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r>
        <w:rPr>
          <w:rFonts w:asciiTheme="majorHAnsi" w:hAnsiTheme="majorHAnsi" w:cs="Helvetica"/>
          <w:b/>
          <w:szCs w:val="16"/>
        </w:rPr>
        <w:tab/>
        <w:t>OR</w:t>
      </w:r>
    </w:p>
    <w:p w:rsidR="008A5E55" w:rsidRP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rPr>
          <w:rFonts w:asciiTheme="majorHAnsi" w:hAnsiTheme="majorHAnsi" w:cs="Helvetica"/>
          <w:szCs w:val="16"/>
        </w:rPr>
        <w:t xml:space="preserve">No animal studies have been conducted and there are no adequate and well-controlled studies in pregnant women.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r w:rsidRPr="008A5E55">
        <w:rPr>
          <w:rFonts w:asciiTheme="majorHAnsi" w:hAnsiTheme="majorHAnsi" w:cs="Helvetica"/>
          <w:szCs w:val="16"/>
        </w:rPr>
        <w:t>*</w:t>
      </w:r>
      <w:r w:rsidRPr="008A5E55">
        <w:rPr>
          <w:rFonts w:asciiTheme="majorHAnsi" w:hAnsiTheme="majorHAnsi" w:cs="Helvetica"/>
          <w:b/>
          <w:szCs w:val="16"/>
        </w:rPr>
        <w:t>Category D</w:t>
      </w:r>
      <w:r w:rsidRPr="008A5E55">
        <w:rPr>
          <w:rFonts w:asciiTheme="majorHAnsi" w:hAnsiTheme="majorHAnsi" w:cs="Helvetica"/>
          <w:szCs w:val="16"/>
        </w:rPr>
        <w:sym w:font="Wingdings" w:char="F0E0"/>
      </w:r>
      <w:r w:rsidRPr="008A5E55">
        <w:rPr>
          <w:rFonts w:asciiTheme="majorHAnsi" w:hAnsiTheme="majorHAnsi" w:cs="Helvetica"/>
          <w:szCs w:val="16"/>
        </w:rPr>
        <w:t xml:space="preserve"> </w:t>
      </w:r>
      <w:r>
        <w:rPr>
          <w:rFonts w:asciiTheme="majorHAnsi" w:hAnsiTheme="majorHAnsi" w:cs="Helvetica"/>
          <w:szCs w:val="16"/>
        </w:rPr>
        <w:t xml:space="preserve">Adequate, </w:t>
      </w:r>
      <w:proofErr w:type="gramStart"/>
      <w:r>
        <w:rPr>
          <w:rFonts w:asciiTheme="majorHAnsi" w:hAnsiTheme="majorHAnsi" w:cs="Helvetica"/>
          <w:szCs w:val="16"/>
        </w:rPr>
        <w:t>well controlled</w:t>
      </w:r>
      <w:proofErr w:type="gramEnd"/>
      <w:r>
        <w:rPr>
          <w:rFonts w:asciiTheme="majorHAnsi" w:hAnsiTheme="majorHAnsi" w:cs="Helvetica"/>
          <w:szCs w:val="16"/>
        </w:rPr>
        <w:t xml:space="preserve"> or observational studies in pregnant women have demonstrated a risk to the fetus.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r>
        <w:rPr>
          <w:rFonts w:asciiTheme="majorHAnsi" w:hAnsiTheme="majorHAnsi" w:cs="Helvetica"/>
          <w:szCs w:val="16"/>
        </w:rPr>
        <w:t xml:space="preserve">However, the benefits of therapy may outweigh the potential risk. For example, the drug may be acceptable if needed in life-threatening situation or serious disease for which safer drugs cannot be used or are ineffective. </w:t>
      </w:r>
    </w:p>
    <w:p w:rsidR="008A5E55"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p>
    <w:p w:rsidR="002E4D11" w:rsidRDefault="008A5E55"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szCs w:val="16"/>
        </w:rPr>
      </w:pPr>
      <w:r>
        <w:rPr>
          <w:rFonts w:asciiTheme="majorHAnsi" w:hAnsiTheme="majorHAnsi" w:cs="Helvetica"/>
          <w:szCs w:val="16"/>
        </w:rPr>
        <w:t>*</w:t>
      </w:r>
      <w:proofErr w:type="gramStart"/>
      <w:r>
        <w:rPr>
          <w:rFonts w:asciiTheme="majorHAnsi" w:hAnsiTheme="majorHAnsi" w:cs="Helvetica"/>
          <w:b/>
          <w:szCs w:val="16"/>
        </w:rPr>
        <w:t>Category X</w:t>
      </w:r>
      <w:r w:rsidRPr="008A5E55">
        <w:rPr>
          <w:rFonts w:asciiTheme="majorHAnsi" w:hAnsiTheme="majorHAnsi" w:cs="Helvetica"/>
          <w:b/>
          <w:szCs w:val="16"/>
        </w:rPr>
        <w:sym w:font="Wingdings" w:char="F0E0"/>
      </w:r>
      <w:r>
        <w:rPr>
          <w:rFonts w:asciiTheme="majorHAnsi" w:hAnsiTheme="majorHAnsi" w:cs="Helvetica"/>
          <w:szCs w:val="16"/>
        </w:rPr>
        <w:t xml:space="preserve"> Adequate well-controlled or observational studies in animals or pregnant women have</w:t>
      </w:r>
      <w:proofErr w:type="gramEnd"/>
      <w:r>
        <w:rPr>
          <w:rFonts w:asciiTheme="majorHAnsi" w:hAnsiTheme="majorHAnsi" w:cs="Helvetica"/>
          <w:szCs w:val="16"/>
        </w:rPr>
        <w:t xml:space="preserve"> demonstrated positive evidence of fetal abnormalities or risks. </w:t>
      </w:r>
    </w:p>
    <w:p w:rsidR="008A5E55" w:rsidRPr="008A5E55" w:rsidRDefault="002E4D11" w:rsidP="008A5E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heme="majorHAnsi" w:hAnsiTheme="majorHAnsi" w:cs="Helvetica"/>
        </w:rPr>
      </w:pPr>
      <w:r>
        <w:rPr>
          <w:rFonts w:asciiTheme="majorHAnsi" w:hAnsiTheme="majorHAnsi" w:cs="Helvetica"/>
          <w:szCs w:val="16"/>
        </w:rPr>
        <w:t xml:space="preserve">The use of the product is contraindicated in women who are, or may become pregnant. There is no indication for use in pregnancy </w:t>
      </w:r>
    </w:p>
    <w:p w:rsidR="00396FC9" w:rsidRPr="00396FC9" w:rsidRDefault="00396FC9" w:rsidP="002E4D11"/>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7.3</w:t>
      </w:r>
      <w:r w:rsidRPr="00396FC9">
        <w:rPr>
          <w:rFonts w:cs="Arial"/>
          <w:szCs w:val="26"/>
        </w:rPr>
        <w:sym w:font="Wingdings" w:char="F0E0"/>
      </w:r>
      <w:r w:rsidRPr="00396FC9">
        <w:rPr>
          <w:rFonts w:cs="Arial"/>
          <w:szCs w:val="26"/>
        </w:rPr>
        <w:t xml:space="preserve"> Breast-feeding women must be aware that many drugs and other substances can appear in milk and cause adverse effects to the infant.</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7.4</w:t>
      </w:r>
      <w:r w:rsidRPr="00396FC9">
        <w:rPr>
          <w:rFonts w:cs="Arial"/>
          <w:szCs w:val="26"/>
        </w:rPr>
        <w:t xml:space="preserve"> </w:t>
      </w:r>
      <w:r w:rsidRPr="00396FC9">
        <w:rPr>
          <w:rFonts w:cs="Arial"/>
          <w:szCs w:val="26"/>
        </w:rPr>
        <w:sym w:font="Wingdings" w:char="F0E0"/>
      </w:r>
      <w:r w:rsidRPr="00396FC9">
        <w:rPr>
          <w:rFonts w:cs="Arial"/>
          <w:szCs w:val="26"/>
        </w:rPr>
        <w:t xml:space="preserve"> Patient education is especially critical during pregnancy and lactation for the safety of the mother and baby and to ensure successful pharmacologic outcomes.</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7.5</w:t>
      </w:r>
      <w:r w:rsidRPr="00396FC9">
        <w:rPr>
          <w:rFonts w:cs="Arial"/>
          <w:b/>
          <w:bCs/>
          <w:szCs w:val="26"/>
        </w:rPr>
        <w:sym w:font="Wingdings" w:char="F0E0"/>
      </w:r>
      <w:r w:rsidRPr="00396FC9">
        <w:rPr>
          <w:rFonts w:cs="Arial"/>
          <w:szCs w:val="26"/>
        </w:rPr>
        <w:t xml:space="preserve"> During infancy, pharmacotherapy is directed toward the safety of the child and teaching the parents how to properly administer medications and care for the infant.</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 xml:space="preserve">7.6 </w:t>
      </w:r>
      <w:r w:rsidRPr="00396FC9">
        <w:rPr>
          <w:rFonts w:cs="Arial"/>
          <w:b/>
          <w:bCs/>
          <w:szCs w:val="26"/>
        </w:rPr>
        <w:sym w:font="Wingdings" w:char="F0E0"/>
      </w:r>
      <w:r w:rsidRPr="00396FC9">
        <w:rPr>
          <w:rFonts w:cs="Arial"/>
          <w:szCs w:val="26"/>
        </w:rPr>
        <w:t>Drug administration to toddlers can be challenging; short, concrete explanations followed by immediate drug administration are usually best for the toddler.</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 xml:space="preserve">7.7 </w:t>
      </w:r>
      <w:r w:rsidRPr="00396FC9">
        <w:rPr>
          <w:rFonts w:cs="Arial"/>
          <w:b/>
          <w:bCs/>
          <w:szCs w:val="26"/>
        </w:rPr>
        <w:sym w:font="Wingdings" w:char="F0E0"/>
      </w:r>
      <w:r w:rsidRPr="00396FC9">
        <w:rPr>
          <w:rFonts w:cs="Arial"/>
          <w:szCs w:val="26"/>
        </w:rPr>
        <w:t xml:space="preserve"> Preschool and younger school-age children can begin to assist with medication administration.</w:t>
      </w:r>
      <w:r w:rsidR="002E4D11">
        <w:rPr>
          <w:rFonts w:cs="Arial"/>
          <w:szCs w:val="26"/>
        </w:rPr>
        <w:t xml:space="preserve"> *MUST BE AWARE OF POISIONING and the risk of a child becoming poisoned due to access to medications. </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7.8</w:t>
      </w:r>
      <w:r w:rsidRPr="00396FC9">
        <w:rPr>
          <w:rFonts w:cs="Arial"/>
          <w:b/>
          <w:bCs/>
          <w:szCs w:val="26"/>
        </w:rPr>
        <w:sym w:font="Wingdings" w:char="F0E0"/>
      </w:r>
      <w:r w:rsidRPr="00396FC9">
        <w:rPr>
          <w:rFonts w:cs="Arial"/>
          <w:b/>
          <w:bCs/>
          <w:szCs w:val="26"/>
        </w:rPr>
        <w:t xml:space="preserve"> </w:t>
      </w:r>
      <w:r w:rsidRPr="00396FC9">
        <w:rPr>
          <w:rFonts w:cs="Arial"/>
          <w:szCs w:val="26"/>
        </w:rPr>
        <w:t>Pharmacologic compliance in the adolescent is dependent on an understanding of and respect for the uniqueness</w:t>
      </w:r>
      <w:r w:rsidR="002E4D11">
        <w:rPr>
          <w:rFonts w:cs="Arial"/>
          <w:szCs w:val="26"/>
        </w:rPr>
        <w:t xml:space="preserve"> of the person in this stage of </w:t>
      </w:r>
      <w:r w:rsidRPr="00396FC9">
        <w:rPr>
          <w:rFonts w:cs="Arial"/>
          <w:szCs w:val="26"/>
        </w:rPr>
        <w:t>growth and development.</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 xml:space="preserve">7.9 </w:t>
      </w:r>
      <w:r w:rsidRPr="00396FC9">
        <w:rPr>
          <w:rFonts w:cs="Arial"/>
          <w:b/>
          <w:bCs/>
          <w:szCs w:val="26"/>
        </w:rPr>
        <w:sym w:font="Wingdings" w:char="F0E0"/>
      </w:r>
      <w:r w:rsidRPr="00396FC9">
        <w:rPr>
          <w:rFonts w:cs="Arial"/>
          <w:szCs w:val="26"/>
        </w:rPr>
        <w:t>Young adults constitute the healthiest age group and generally need few prescription medications. Middle-aged adults begin to suffer from stress-related illness such as hypertension.</w:t>
      </w:r>
    </w:p>
    <w:p w:rsidR="00396FC9" w:rsidRPr="00396FC9" w:rsidRDefault="00396FC9" w:rsidP="00396FC9">
      <w:pPr>
        <w:widowControl w:val="0"/>
        <w:autoSpaceDE w:val="0"/>
        <w:autoSpaceDN w:val="0"/>
        <w:adjustRightInd w:val="0"/>
        <w:spacing w:before="240" w:after="240" w:line="360" w:lineRule="auto"/>
        <w:rPr>
          <w:rFonts w:cs="Arial"/>
          <w:szCs w:val="26"/>
        </w:rPr>
      </w:pPr>
      <w:r w:rsidRPr="00396FC9">
        <w:rPr>
          <w:rFonts w:cs="Arial"/>
          <w:b/>
          <w:bCs/>
          <w:szCs w:val="26"/>
        </w:rPr>
        <w:t>7,10</w:t>
      </w:r>
      <w:r w:rsidRPr="00396FC9">
        <w:rPr>
          <w:rFonts w:cs="Arial"/>
          <w:b/>
          <w:bCs/>
          <w:szCs w:val="26"/>
        </w:rPr>
        <w:sym w:font="Wingdings" w:char="F0E0"/>
      </w:r>
      <w:r w:rsidRPr="00396FC9">
        <w:rPr>
          <w:rFonts w:cs="Arial"/>
          <w:szCs w:val="26"/>
        </w:rPr>
        <w:t xml:space="preserve"> Older adults take more medications and experience more adverse drug events than any other age group. For drug therapy to be successful, the nurse must make accommodations for age-related changes in physiological and </w:t>
      </w:r>
      <w:proofErr w:type="gramStart"/>
      <w:r w:rsidRPr="00396FC9">
        <w:rPr>
          <w:rFonts w:cs="Arial"/>
          <w:szCs w:val="26"/>
        </w:rPr>
        <w:t>biochemical</w:t>
      </w:r>
      <w:proofErr w:type="gramEnd"/>
      <w:r w:rsidRPr="00396FC9">
        <w:rPr>
          <w:rFonts w:cs="Arial"/>
          <w:szCs w:val="26"/>
        </w:rPr>
        <w:t xml:space="preserve"> functions.</w:t>
      </w:r>
    </w:p>
    <w:p w:rsidR="00396FC9" w:rsidRPr="00396FC9" w:rsidRDefault="00396FC9" w:rsidP="00396FC9">
      <w:pPr>
        <w:pStyle w:val="Heading2"/>
        <w:spacing w:line="360" w:lineRule="auto"/>
        <w:rPr>
          <w:color w:val="B13F9A" w:themeColor="text2"/>
          <w:sz w:val="24"/>
          <w:u w:val="single"/>
        </w:rPr>
      </w:pPr>
      <w:r w:rsidRPr="00396FC9">
        <w:rPr>
          <w:color w:val="B13F9A" w:themeColor="text2"/>
          <w:sz w:val="24"/>
          <w:u w:val="single"/>
        </w:rPr>
        <w:t>Chapter 7- KEY TERMS</w:t>
      </w:r>
    </w:p>
    <w:p w:rsidR="00396FC9" w:rsidRPr="00396FC9" w:rsidRDefault="00396FC9" w:rsidP="00396FC9">
      <w:pPr>
        <w:pStyle w:val="ListParagraph"/>
        <w:numPr>
          <w:ilvl w:val="0"/>
          <w:numId w:val="2"/>
        </w:numPr>
        <w:spacing w:line="360" w:lineRule="auto"/>
      </w:pPr>
      <w:r w:rsidRPr="00396FC9">
        <w:rPr>
          <w:b/>
          <w:color w:val="B83D68" w:themeColor="accent1"/>
          <w:u w:val="single"/>
        </w:rPr>
        <w:t>Adolescence</w:t>
      </w:r>
      <w:r w:rsidRPr="00396FC9">
        <w:rPr>
          <w:color w:val="B83D68" w:themeColor="accent1"/>
        </w:rPr>
        <w:t xml:space="preserve">- </w:t>
      </w:r>
      <w:r w:rsidRPr="00396FC9">
        <w:t xml:space="preserve">Period from 13 to 16 years of age. </w:t>
      </w:r>
    </w:p>
    <w:p w:rsidR="00396FC9" w:rsidRPr="00396FC9" w:rsidRDefault="00396FC9" w:rsidP="00396FC9">
      <w:pPr>
        <w:pStyle w:val="ListParagraph"/>
        <w:numPr>
          <w:ilvl w:val="0"/>
          <w:numId w:val="2"/>
        </w:numPr>
        <w:spacing w:line="360" w:lineRule="auto"/>
      </w:pPr>
      <w:r w:rsidRPr="00396FC9">
        <w:rPr>
          <w:b/>
          <w:color w:val="B83D68" w:themeColor="accent1"/>
          <w:u w:val="single"/>
        </w:rPr>
        <w:t>Embryonic Period-</w:t>
      </w:r>
      <w:r w:rsidRPr="00396FC9">
        <w:t xml:space="preserve"> Period of life from 3 to 8 weeks post conception. </w:t>
      </w:r>
    </w:p>
    <w:p w:rsidR="00396FC9" w:rsidRPr="00396FC9" w:rsidRDefault="00396FC9" w:rsidP="00396FC9">
      <w:pPr>
        <w:pStyle w:val="ListParagraph"/>
        <w:numPr>
          <w:ilvl w:val="0"/>
          <w:numId w:val="2"/>
        </w:numPr>
        <w:spacing w:line="360" w:lineRule="auto"/>
      </w:pPr>
      <w:r w:rsidRPr="00396FC9">
        <w:rPr>
          <w:b/>
          <w:color w:val="B83D68" w:themeColor="accent1"/>
          <w:u w:val="single"/>
        </w:rPr>
        <w:t>Fetal Period-</w:t>
      </w:r>
      <w:r w:rsidRPr="00396FC9">
        <w:t xml:space="preserve"> Period of life from 9 to 40 weeks post conception.</w:t>
      </w:r>
    </w:p>
    <w:p w:rsidR="00396FC9" w:rsidRPr="00396FC9" w:rsidRDefault="00396FC9" w:rsidP="00396FC9">
      <w:pPr>
        <w:pStyle w:val="ListParagraph"/>
        <w:numPr>
          <w:ilvl w:val="0"/>
          <w:numId w:val="2"/>
        </w:numPr>
        <w:spacing w:line="360" w:lineRule="auto"/>
      </w:pPr>
      <w:r w:rsidRPr="00396FC9">
        <w:rPr>
          <w:b/>
          <w:color w:val="B83D68" w:themeColor="accent1"/>
          <w:u w:val="single"/>
        </w:rPr>
        <w:t>Infancy-</w:t>
      </w:r>
      <w:r w:rsidRPr="00396FC9">
        <w:t xml:space="preserve"> Child younger than 1 year.</w:t>
      </w:r>
    </w:p>
    <w:p w:rsidR="00396FC9" w:rsidRPr="00396FC9" w:rsidRDefault="00396FC9" w:rsidP="00396FC9">
      <w:pPr>
        <w:pStyle w:val="ListParagraph"/>
        <w:numPr>
          <w:ilvl w:val="0"/>
          <w:numId w:val="2"/>
        </w:numPr>
        <w:spacing w:line="360" w:lineRule="auto"/>
      </w:pPr>
      <w:r w:rsidRPr="00396FC9">
        <w:rPr>
          <w:b/>
          <w:color w:val="B83D68" w:themeColor="accent1"/>
          <w:u w:val="single"/>
        </w:rPr>
        <w:t>Middle Adulthood-</w:t>
      </w:r>
      <w:r w:rsidRPr="00396FC9">
        <w:t xml:space="preserve"> Person from 40 to 65 years of age.</w:t>
      </w:r>
    </w:p>
    <w:p w:rsidR="00396FC9" w:rsidRPr="00396FC9" w:rsidRDefault="00396FC9" w:rsidP="00396FC9">
      <w:pPr>
        <w:pStyle w:val="ListParagraph"/>
        <w:numPr>
          <w:ilvl w:val="0"/>
          <w:numId w:val="2"/>
        </w:numPr>
        <w:spacing w:line="360" w:lineRule="auto"/>
      </w:pPr>
      <w:r w:rsidRPr="00396FC9">
        <w:rPr>
          <w:b/>
          <w:color w:val="B83D68" w:themeColor="accent1"/>
          <w:u w:val="single"/>
        </w:rPr>
        <w:t>Older adulthood-</w:t>
      </w:r>
      <w:r w:rsidRPr="00396FC9">
        <w:t xml:space="preserve"> Person older than age 65.</w:t>
      </w:r>
    </w:p>
    <w:p w:rsidR="00396FC9" w:rsidRPr="00396FC9" w:rsidRDefault="00396FC9" w:rsidP="00396FC9">
      <w:pPr>
        <w:pStyle w:val="ListParagraph"/>
        <w:numPr>
          <w:ilvl w:val="0"/>
          <w:numId w:val="2"/>
        </w:numPr>
        <w:spacing w:line="360" w:lineRule="auto"/>
      </w:pPr>
      <w:proofErr w:type="spellStart"/>
      <w:r w:rsidRPr="00396FC9">
        <w:rPr>
          <w:b/>
          <w:color w:val="B83D68" w:themeColor="accent1"/>
          <w:u w:val="single"/>
        </w:rPr>
        <w:t>Polypharmacy</w:t>
      </w:r>
      <w:proofErr w:type="spellEnd"/>
      <w:r w:rsidRPr="00396FC9">
        <w:rPr>
          <w:b/>
          <w:color w:val="B83D68" w:themeColor="accent1"/>
          <w:u w:val="single"/>
        </w:rPr>
        <w:t>-</w:t>
      </w:r>
      <w:r w:rsidRPr="00396FC9">
        <w:t xml:space="preserve"> The taking of multiple drugs concurrently. </w:t>
      </w:r>
    </w:p>
    <w:p w:rsidR="00396FC9" w:rsidRPr="00396FC9" w:rsidRDefault="00396FC9" w:rsidP="00396FC9">
      <w:pPr>
        <w:pStyle w:val="ListParagraph"/>
        <w:numPr>
          <w:ilvl w:val="0"/>
          <w:numId w:val="2"/>
        </w:numPr>
        <w:spacing w:line="360" w:lineRule="auto"/>
      </w:pPr>
      <w:proofErr w:type="spellStart"/>
      <w:r w:rsidRPr="00396FC9">
        <w:rPr>
          <w:b/>
          <w:color w:val="B83D68" w:themeColor="accent1"/>
          <w:u w:val="single"/>
        </w:rPr>
        <w:t>Preimplantation</w:t>
      </w:r>
      <w:proofErr w:type="spellEnd"/>
      <w:r w:rsidRPr="00396FC9">
        <w:rPr>
          <w:b/>
          <w:color w:val="B83D68" w:themeColor="accent1"/>
          <w:u w:val="single"/>
        </w:rPr>
        <w:t xml:space="preserve"> period-</w:t>
      </w:r>
      <w:r w:rsidRPr="00396FC9">
        <w:t xml:space="preserve"> Period of life from 1 to 2 weeks post conception. </w:t>
      </w:r>
    </w:p>
    <w:p w:rsidR="00396FC9" w:rsidRPr="00396FC9" w:rsidRDefault="00396FC9" w:rsidP="00396FC9">
      <w:pPr>
        <w:pStyle w:val="ListParagraph"/>
        <w:numPr>
          <w:ilvl w:val="0"/>
          <w:numId w:val="2"/>
        </w:numPr>
        <w:spacing w:line="360" w:lineRule="auto"/>
      </w:pPr>
      <w:r w:rsidRPr="00396FC9">
        <w:rPr>
          <w:b/>
          <w:color w:val="B83D68" w:themeColor="accent1"/>
          <w:u w:val="single"/>
        </w:rPr>
        <w:t>Preschool child-</w:t>
      </w:r>
      <w:r w:rsidRPr="00396FC9">
        <w:t xml:space="preserve"> Child from 3 to 5 years of age.</w:t>
      </w:r>
    </w:p>
    <w:p w:rsidR="00396FC9" w:rsidRPr="00396FC9" w:rsidRDefault="00396FC9" w:rsidP="00396FC9">
      <w:pPr>
        <w:pStyle w:val="ListParagraph"/>
        <w:numPr>
          <w:ilvl w:val="0"/>
          <w:numId w:val="2"/>
        </w:numPr>
        <w:spacing w:line="360" w:lineRule="auto"/>
      </w:pPr>
      <w:r w:rsidRPr="00396FC9">
        <w:rPr>
          <w:b/>
          <w:color w:val="B83D68" w:themeColor="accent1"/>
          <w:u w:val="single"/>
        </w:rPr>
        <w:t>School Aged Child-</w:t>
      </w:r>
      <w:r w:rsidRPr="00396FC9">
        <w:t xml:space="preserve"> Child from 6 to 12 years of age. </w:t>
      </w:r>
    </w:p>
    <w:p w:rsidR="00396FC9" w:rsidRPr="00396FC9" w:rsidRDefault="00396FC9" w:rsidP="00396FC9">
      <w:pPr>
        <w:pStyle w:val="ListParagraph"/>
        <w:numPr>
          <w:ilvl w:val="0"/>
          <w:numId w:val="2"/>
        </w:numPr>
        <w:spacing w:line="360" w:lineRule="auto"/>
      </w:pPr>
      <w:proofErr w:type="spellStart"/>
      <w:r w:rsidRPr="00396FC9">
        <w:rPr>
          <w:b/>
          <w:color w:val="B83D68" w:themeColor="accent1"/>
          <w:u w:val="single"/>
        </w:rPr>
        <w:t>Teratogen</w:t>
      </w:r>
      <w:proofErr w:type="spellEnd"/>
      <w:r w:rsidRPr="00396FC9">
        <w:rPr>
          <w:b/>
          <w:color w:val="B83D68" w:themeColor="accent1"/>
          <w:u w:val="single"/>
        </w:rPr>
        <w:t>-</w:t>
      </w:r>
      <w:r w:rsidRPr="00396FC9">
        <w:t xml:space="preserve"> Drug or other agent that causes developmental birth defects. </w:t>
      </w:r>
    </w:p>
    <w:p w:rsidR="00396FC9" w:rsidRPr="00396FC9" w:rsidRDefault="00396FC9" w:rsidP="00396FC9">
      <w:pPr>
        <w:pStyle w:val="ListParagraph"/>
        <w:numPr>
          <w:ilvl w:val="0"/>
          <w:numId w:val="2"/>
        </w:numPr>
        <w:spacing w:line="360" w:lineRule="auto"/>
      </w:pPr>
      <w:r w:rsidRPr="00396FC9">
        <w:rPr>
          <w:b/>
          <w:color w:val="B83D68" w:themeColor="accent1"/>
          <w:u w:val="single"/>
        </w:rPr>
        <w:t>Toddlerhood-</w:t>
      </w:r>
      <w:r w:rsidRPr="00396FC9">
        <w:t xml:space="preserve"> Term applied to children from 1 to 3 years of age.</w:t>
      </w:r>
    </w:p>
    <w:p w:rsidR="00396FC9" w:rsidRPr="00396FC9" w:rsidRDefault="00396FC9" w:rsidP="00396FC9">
      <w:pPr>
        <w:pStyle w:val="ListParagraph"/>
        <w:numPr>
          <w:ilvl w:val="0"/>
          <w:numId w:val="2"/>
        </w:numPr>
        <w:spacing w:line="360" w:lineRule="auto"/>
      </w:pPr>
      <w:r w:rsidRPr="00396FC9">
        <w:rPr>
          <w:b/>
          <w:color w:val="B83D68" w:themeColor="accent1"/>
          <w:u w:val="single"/>
        </w:rPr>
        <w:t>Young adulthood-</w:t>
      </w:r>
      <w:r w:rsidRPr="00396FC9">
        <w:t xml:space="preserve"> Term applied to persons from 18 to 40 years of age. </w:t>
      </w:r>
    </w:p>
    <w:sectPr w:rsidR="00396FC9" w:rsidRPr="00396FC9" w:rsidSect="00396FC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71F70"/>
    <w:multiLevelType w:val="hybridMultilevel"/>
    <w:tmpl w:val="7A3024FC"/>
    <w:lvl w:ilvl="0" w:tplc="5DE8E652">
      <w:start w:val="7"/>
      <w:numFmt w:val="bullet"/>
      <w:lvlText w:val=""/>
      <w:lvlJc w:val="left"/>
      <w:pPr>
        <w:ind w:left="720" w:hanging="360"/>
      </w:pPr>
      <w:rPr>
        <w:rFonts w:ascii="Symbol" w:eastAsiaTheme="minorHAnsi" w:hAnsi="Symbol" w:cstheme="minorBidi" w:hint="default"/>
        <w:b/>
        <w:color w:val="B83D68"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2D03BB"/>
    <w:multiLevelType w:val="hybridMultilevel"/>
    <w:tmpl w:val="877ABCCC"/>
    <w:lvl w:ilvl="0" w:tplc="29889618">
      <w:start w:val="1"/>
      <w:numFmt w:val="bullet"/>
      <w:lvlText w:val="o"/>
      <w:lvlJc w:val="left"/>
      <w:pPr>
        <w:ind w:left="792"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6FC9"/>
    <w:rsid w:val="002E4D11"/>
    <w:rsid w:val="00396FC9"/>
    <w:rsid w:val="008A5E5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45BD0"/>
  </w:style>
  <w:style w:type="paragraph" w:styleId="Heading1">
    <w:name w:val="heading 1"/>
    <w:basedOn w:val="Normal"/>
    <w:next w:val="Normal"/>
    <w:link w:val="Heading1Char"/>
    <w:uiPriority w:val="9"/>
    <w:qFormat/>
    <w:rsid w:val="00396FC9"/>
    <w:pPr>
      <w:keepNext/>
      <w:keepLines/>
      <w:spacing w:before="480"/>
      <w:outlineLvl w:val="0"/>
    </w:pPr>
    <w:rPr>
      <w:rFonts w:asciiTheme="majorHAnsi" w:eastAsiaTheme="majorEastAsia" w:hAnsiTheme="majorHAnsi" w:cstheme="majorBidi"/>
      <w:b/>
      <w:bCs/>
      <w:color w:val="822B49" w:themeColor="accent1" w:themeShade="B5"/>
      <w:sz w:val="32"/>
      <w:szCs w:val="32"/>
    </w:rPr>
  </w:style>
  <w:style w:type="paragraph" w:styleId="Heading2">
    <w:name w:val="heading 2"/>
    <w:basedOn w:val="Normal"/>
    <w:next w:val="Normal"/>
    <w:link w:val="Heading2Char"/>
    <w:rsid w:val="00396FC9"/>
    <w:pPr>
      <w:keepNext/>
      <w:keepLines/>
      <w:spacing w:before="200"/>
      <w:outlineLvl w:val="1"/>
    </w:pPr>
    <w:rPr>
      <w:rFonts w:asciiTheme="majorHAnsi" w:eastAsiaTheme="majorEastAsia" w:hAnsiTheme="majorHAnsi" w:cstheme="majorBidi"/>
      <w:b/>
      <w:bCs/>
      <w:color w:val="B83D68" w:themeColor="accent1"/>
      <w:sz w:val="26"/>
      <w:szCs w:val="26"/>
    </w:rPr>
  </w:style>
  <w:style w:type="paragraph" w:styleId="Heading3">
    <w:name w:val="heading 3"/>
    <w:basedOn w:val="Normal"/>
    <w:next w:val="Normal"/>
    <w:link w:val="Heading3Char"/>
    <w:rsid w:val="00396FC9"/>
    <w:pPr>
      <w:keepNext/>
      <w:keepLines/>
      <w:spacing w:before="200"/>
      <w:outlineLvl w:val="2"/>
    </w:pPr>
    <w:rPr>
      <w:rFonts w:asciiTheme="majorHAnsi" w:eastAsiaTheme="majorEastAsia" w:hAnsiTheme="majorHAnsi" w:cstheme="majorBidi"/>
      <w:b/>
      <w:bCs/>
      <w:color w:val="B83D68"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396FC9"/>
    <w:rPr>
      <w:rFonts w:asciiTheme="majorHAnsi" w:eastAsiaTheme="majorEastAsia" w:hAnsiTheme="majorHAnsi" w:cstheme="majorBidi"/>
      <w:b/>
      <w:bCs/>
      <w:color w:val="822B49" w:themeColor="accent1" w:themeShade="B5"/>
      <w:sz w:val="32"/>
      <w:szCs w:val="32"/>
    </w:rPr>
  </w:style>
  <w:style w:type="character" w:customStyle="1" w:styleId="Heading2Char">
    <w:name w:val="Heading 2 Char"/>
    <w:basedOn w:val="DefaultParagraphFont"/>
    <w:link w:val="Heading2"/>
    <w:rsid w:val="00396FC9"/>
    <w:rPr>
      <w:rFonts w:asciiTheme="majorHAnsi" w:eastAsiaTheme="majorEastAsia" w:hAnsiTheme="majorHAnsi" w:cstheme="majorBidi"/>
      <w:b/>
      <w:bCs/>
      <w:color w:val="B83D68" w:themeColor="accent1"/>
      <w:sz w:val="26"/>
      <w:szCs w:val="26"/>
    </w:rPr>
  </w:style>
  <w:style w:type="paragraph" w:styleId="ListParagraph">
    <w:name w:val="List Paragraph"/>
    <w:basedOn w:val="Normal"/>
    <w:rsid w:val="00396FC9"/>
    <w:pPr>
      <w:ind w:left="720"/>
      <w:contextualSpacing/>
    </w:pPr>
  </w:style>
  <w:style w:type="character" w:customStyle="1" w:styleId="Heading3Char">
    <w:name w:val="Heading 3 Char"/>
    <w:basedOn w:val="DefaultParagraphFont"/>
    <w:link w:val="Heading3"/>
    <w:rsid w:val="00396FC9"/>
    <w:rPr>
      <w:rFonts w:asciiTheme="majorHAnsi" w:eastAsiaTheme="majorEastAsia" w:hAnsiTheme="majorHAnsi" w:cstheme="majorBidi"/>
      <w:b/>
      <w:bCs/>
      <w:color w:val="B83D68" w:themeColor="accent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pulent">
      <a:majorFont>
        <a:latin typeface="Trebuchet MS"/>
        <a:ea typeface=""/>
        <a:cs typeface=""/>
        <a:font script="Jpan" typeface="ヒラギノ丸ゴ Pro W4"/>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ヒラギノ丸ゴ Pro W4"/>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593</Words>
  <Characters>3384</Characters>
  <Application>Microsoft Macintosh Word</Application>
  <DocSecurity>0</DocSecurity>
  <Lines>28</Lines>
  <Paragraphs>6</Paragraphs>
  <ScaleCrop>false</ScaleCrop>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Gogerty</dc:creator>
  <cp:keywords/>
  <cp:lastModifiedBy>Rachel Gogerty</cp:lastModifiedBy>
  <cp:revision>1</cp:revision>
  <dcterms:created xsi:type="dcterms:W3CDTF">2012-09-19T23:55:00Z</dcterms:created>
  <dcterms:modified xsi:type="dcterms:W3CDTF">2012-09-20T00:26:00Z</dcterms:modified>
</cp:coreProperties>
</file>